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BB5" w:rsidRDefault="00617C2C">
      <w:pPr>
        <w:spacing w:before="79"/>
        <w:ind w:left="2593" w:right="2593"/>
        <w:jc w:val="center"/>
        <w:rPr>
          <w:rFonts w:ascii="Tahoma"/>
          <w:b/>
          <w:sz w:val="44"/>
        </w:rPr>
      </w:pPr>
      <w:r>
        <w:rPr>
          <w:rFonts w:ascii="Tahoma"/>
          <w:b/>
          <w:sz w:val="44"/>
        </w:rPr>
        <w:t>[Letterhead]</w:t>
      </w:r>
    </w:p>
    <w:p w:rsidR="00C52BB5" w:rsidRDefault="00C52BB5">
      <w:pPr>
        <w:pStyle w:val="BodyText"/>
        <w:spacing w:before="11"/>
        <w:rPr>
          <w:rFonts w:ascii="Tahoma"/>
          <w:b/>
          <w:sz w:val="47"/>
        </w:rPr>
      </w:pPr>
    </w:p>
    <w:p w:rsidR="00C52BB5" w:rsidRDefault="00617C2C">
      <w:pPr>
        <w:pStyle w:val="BodyText"/>
        <w:spacing w:line="276" w:lineRule="auto"/>
        <w:ind w:left="2594" w:right="2593"/>
        <w:jc w:val="center"/>
      </w:pPr>
      <w:r>
        <w:t>Tennessee Workers’ Compensation Drug Formulary Patient Notification Letter</w:t>
      </w:r>
    </w:p>
    <w:p w:rsidR="00C52BB5" w:rsidRDefault="00C52BB5">
      <w:pPr>
        <w:pStyle w:val="BodyText"/>
        <w:rPr>
          <w:sz w:val="20"/>
        </w:rPr>
      </w:pPr>
    </w:p>
    <w:p w:rsidR="00C52BB5" w:rsidRDefault="00C52BB5">
      <w:pPr>
        <w:pStyle w:val="BodyText"/>
        <w:rPr>
          <w:sz w:val="20"/>
        </w:rPr>
      </w:pPr>
    </w:p>
    <w:p w:rsidR="00C52BB5" w:rsidRDefault="00C52BB5">
      <w:pPr>
        <w:pStyle w:val="BodyText"/>
        <w:spacing w:before="11"/>
        <w:rPr>
          <w:sz w:val="17"/>
        </w:rPr>
      </w:pPr>
    </w:p>
    <w:p w:rsidR="00C52BB5" w:rsidRDefault="00617C2C">
      <w:pPr>
        <w:pStyle w:val="BodyText"/>
        <w:ind w:left="220"/>
      </w:pPr>
      <w:r>
        <w:t>[DATE]</w:t>
      </w:r>
    </w:p>
    <w:p w:rsidR="00C52BB5" w:rsidRDefault="00C52BB5">
      <w:pPr>
        <w:pStyle w:val="BodyText"/>
        <w:spacing w:before="1"/>
      </w:pPr>
    </w:p>
    <w:p w:rsidR="00C52BB5" w:rsidRDefault="00617C2C">
      <w:pPr>
        <w:pStyle w:val="BodyText"/>
        <w:ind w:left="220" w:right="7894"/>
      </w:pPr>
      <w:r>
        <w:t>[PATIENT’S NAME] [ADDRESS]</w:t>
      </w:r>
    </w:p>
    <w:p w:rsidR="00617C2C" w:rsidRDefault="00617C2C" w:rsidP="00617C2C">
      <w:pPr>
        <w:pStyle w:val="BodyText"/>
        <w:tabs>
          <w:tab w:val="left" w:pos="3100"/>
        </w:tabs>
        <w:spacing w:before="1"/>
        <w:ind w:left="220"/>
      </w:pPr>
      <w:r>
        <w:t>[STATE</w:t>
      </w:r>
      <w:r>
        <w:rPr>
          <w:spacing w:val="-2"/>
        </w:rPr>
        <w:t xml:space="preserve"> </w:t>
      </w:r>
      <w:r>
        <w:t>FILE</w:t>
      </w:r>
      <w:r>
        <w:rPr>
          <w:spacing w:val="-4"/>
        </w:rPr>
        <w:t xml:space="preserve"> </w:t>
      </w:r>
      <w:r>
        <w:t>NUMBER]</w:t>
      </w:r>
      <w:r>
        <w:tab/>
      </w:r>
    </w:p>
    <w:p w:rsidR="00C52BB5" w:rsidRDefault="00617C2C" w:rsidP="00617C2C">
      <w:pPr>
        <w:pStyle w:val="BodyText"/>
        <w:tabs>
          <w:tab w:val="left" w:pos="3100"/>
        </w:tabs>
        <w:spacing w:before="1"/>
        <w:ind w:left="220"/>
      </w:pPr>
      <w:bookmarkStart w:id="0" w:name="_GoBack"/>
      <w:bookmarkEnd w:id="0"/>
      <w:r>
        <w:t>[CLAIM</w:t>
      </w:r>
      <w:r>
        <w:rPr>
          <w:spacing w:val="-1"/>
        </w:rPr>
        <w:t xml:space="preserve"> </w:t>
      </w:r>
      <w:r>
        <w:t>NUMBER]</w:t>
      </w:r>
    </w:p>
    <w:p w:rsidR="00C52BB5" w:rsidRDefault="00C52BB5">
      <w:pPr>
        <w:pStyle w:val="BodyText"/>
      </w:pPr>
    </w:p>
    <w:p w:rsidR="00C52BB5" w:rsidRDefault="00617C2C">
      <w:pPr>
        <w:pStyle w:val="BodyText"/>
        <w:spacing w:line="276" w:lineRule="auto"/>
        <w:ind w:left="220" w:right="636"/>
        <w:jc w:val="both"/>
      </w:pPr>
      <w:r>
        <w:t>You are receiving this letter because you are being prescribed medications that could be affected by new rules adopted by the Tennessee Bureau of Workers’ Compensation. We have attached a list of drugs that you may be taking that will be</w:t>
      </w:r>
      <w:r>
        <w:rPr>
          <w:spacing w:val="-3"/>
        </w:rPr>
        <w:t xml:space="preserve"> </w:t>
      </w:r>
      <w:r>
        <w:t>affected.</w:t>
      </w:r>
    </w:p>
    <w:p w:rsidR="00C52BB5" w:rsidRDefault="00C52BB5">
      <w:pPr>
        <w:pStyle w:val="BodyText"/>
        <w:spacing w:before="4"/>
        <w:rPr>
          <w:sz w:val="16"/>
        </w:rPr>
      </w:pPr>
    </w:p>
    <w:p w:rsidR="00C52BB5" w:rsidRDefault="00617C2C">
      <w:pPr>
        <w:pStyle w:val="BodyText"/>
        <w:spacing w:line="278" w:lineRule="auto"/>
        <w:ind w:left="220" w:right="1320"/>
      </w:pPr>
      <w:r>
        <w:t>Drug fo</w:t>
      </w:r>
      <w:r>
        <w:t>rmulary rules require prescribers and pharmacies to obtain prior approval for certain medications before they may be paid for by workers’ compensation.</w:t>
      </w:r>
    </w:p>
    <w:p w:rsidR="00C52BB5" w:rsidRDefault="00617C2C">
      <w:pPr>
        <w:spacing w:before="196" w:line="276" w:lineRule="auto"/>
        <w:ind w:left="220" w:right="378"/>
      </w:pPr>
      <w:r>
        <w:rPr>
          <w:b/>
        </w:rPr>
        <w:t>Please be advised that this is not a complete list; other drugs that your doctor prescribes may be affec</w:t>
      </w:r>
      <w:r>
        <w:rPr>
          <w:b/>
        </w:rPr>
        <w:t xml:space="preserve">ted as well. </w:t>
      </w:r>
      <w:r>
        <w:t xml:space="preserve">Please talk to your doctor at your next office visit if you are unsure whether you are currently being prescribed medications that will be affected by these rules or whether discontinuation, substitution or weaning of these medications may be </w:t>
      </w:r>
      <w:r>
        <w:t>appropriate for your care.</w:t>
      </w:r>
    </w:p>
    <w:p w:rsidR="00C52BB5" w:rsidRDefault="00C52BB5">
      <w:pPr>
        <w:pStyle w:val="BodyText"/>
        <w:spacing w:before="4"/>
        <w:rPr>
          <w:sz w:val="16"/>
        </w:rPr>
      </w:pPr>
    </w:p>
    <w:p w:rsidR="00C52BB5" w:rsidRDefault="00617C2C">
      <w:pPr>
        <w:pStyle w:val="BodyText"/>
        <w:spacing w:line="276" w:lineRule="auto"/>
        <w:ind w:left="220" w:right="243"/>
      </w:pPr>
      <w:r>
        <w:t>If your prescriber feels that the medications are medically necessary, and there is no satisfactory substitute, they should request prior approval from your insurance carrier with enough time to allow for review so that you do not have to wait to receive t</w:t>
      </w:r>
      <w:r>
        <w:t>he prescribed medications.</w:t>
      </w:r>
    </w:p>
    <w:p w:rsidR="00C52BB5" w:rsidRDefault="00C52BB5">
      <w:pPr>
        <w:pStyle w:val="BodyText"/>
        <w:spacing w:before="6"/>
        <w:rPr>
          <w:sz w:val="16"/>
        </w:rPr>
      </w:pPr>
    </w:p>
    <w:p w:rsidR="00C52BB5" w:rsidRDefault="00617C2C">
      <w:pPr>
        <w:pStyle w:val="BodyText"/>
        <w:ind w:left="220"/>
      </w:pPr>
      <w:r>
        <w:t>It is important to know when these new rules will affect your claim:</w:t>
      </w:r>
    </w:p>
    <w:p w:rsidR="00C52BB5" w:rsidRDefault="00C52BB5">
      <w:pPr>
        <w:pStyle w:val="BodyText"/>
        <w:spacing w:before="7"/>
        <w:rPr>
          <w:sz w:val="19"/>
        </w:rPr>
      </w:pPr>
    </w:p>
    <w:p w:rsidR="00C52BB5" w:rsidRDefault="00617C2C">
      <w:pPr>
        <w:pStyle w:val="ListParagraph"/>
        <w:numPr>
          <w:ilvl w:val="0"/>
          <w:numId w:val="1"/>
        </w:numPr>
        <w:tabs>
          <w:tab w:val="left" w:pos="940"/>
          <w:tab w:val="left" w:pos="941"/>
        </w:tabs>
        <w:ind w:hanging="361"/>
      </w:pPr>
      <w:r>
        <w:rPr>
          <w:i/>
        </w:rPr>
        <w:t>C</w:t>
      </w:r>
      <w:r>
        <w:t>ertain medications that were prescribed and dispensed for the first time under your claim</w:t>
      </w:r>
      <w:r>
        <w:rPr>
          <w:spacing w:val="-17"/>
        </w:rPr>
        <w:t xml:space="preserve"> </w:t>
      </w:r>
      <w:r>
        <w:t>after</w:t>
      </w:r>
    </w:p>
    <w:p w:rsidR="00C52BB5" w:rsidRDefault="00617C2C">
      <w:pPr>
        <w:spacing w:before="41"/>
        <w:ind w:left="940"/>
      </w:pPr>
      <w:r>
        <w:rPr>
          <w:b/>
        </w:rPr>
        <w:t>January 1, 2019</w:t>
      </w:r>
      <w:r>
        <w:rPr>
          <w:b/>
        </w:rPr>
        <w:t xml:space="preserve"> </w:t>
      </w:r>
      <w:r>
        <w:t xml:space="preserve">will require prior approval starting on </w:t>
      </w:r>
      <w:r>
        <w:rPr>
          <w:b/>
        </w:rPr>
        <w:t>August 28, 2019</w:t>
      </w:r>
      <w:r>
        <w:t>.</w:t>
      </w:r>
    </w:p>
    <w:p w:rsidR="00C52BB5" w:rsidRDefault="00C52BB5">
      <w:pPr>
        <w:pStyle w:val="BodyText"/>
        <w:spacing w:before="7"/>
        <w:rPr>
          <w:sz w:val="28"/>
        </w:rPr>
      </w:pPr>
    </w:p>
    <w:p w:rsidR="00C52BB5" w:rsidRDefault="00617C2C">
      <w:pPr>
        <w:pStyle w:val="ListParagraph"/>
        <w:numPr>
          <w:ilvl w:val="0"/>
          <w:numId w:val="1"/>
        </w:numPr>
        <w:tabs>
          <w:tab w:val="left" w:pos="940"/>
          <w:tab w:val="left" w:pos="941"/>
        </w:tabs>
        <w:ind w:hanging="361"/>
      </w:pPr>
      <w:r>
        <w:t>Refills of affected medications that have been previously prescribed under your claim</w:t>
      </w:r>
      <w:r>
        <w:rPr>
          <w:spacing w:val="-16"/>
        </w:rPr>
        <w:t xml:space="preserve"> </w:t>
      </w:r>
      <w:r>
        <w:t>before</w:t>
      </w:r>
    </w:p>
    <w:p w:rsidR="00C52BB5" w:rsidRDefault="00617C2C">
      <w:pPr>
        <w:spacing w:before="41"/>
        <w:ind w:left="940"/>
        <w:rPr>
          <w:b/>
        </w:rPr>
      </w:pPr>
      <w:r>
        <w:rPr>
          <w:b/>
        </w:rPr>
        <w:t>January 1, 2019</w:t>
      </w:r>
      <w:r>
        <w:rPr>
          <w:b/>
        </w:rPr>
        <w:t xml:space="preserve"> </w:t>
      </w:r>
      <w:r>
        <w:t xml:space="preserve">will require prior approval starting on </w:t>
      </w:r>
      <w:r>
        <w:rPr>
          <w:b/>
        </w:rPr>
        <w:t>February 28, 2020</w:t>
      </w:r>
      <w:r>
        <w:rPr>
          <w:b/>
        </w:rPr>
        <w:t>.</w:t>
      </w:r>
    </w:p>
    <w:p w:rsidR="00C52BB5" w:rsidRDefault="00C52BB5">
      <w:pPr>
        <w:pStyle w:val="BodyText"/>
        <w:rPr>
          <w:b/>
        </w:rPr>
      </w:pPr>
    </w:p>
    <w:p w:rsidR="00C52BB5" w:rsidRDefault="00C52BB5">
      <w:pPr>
        <w:pStyle w:val="BodyText"/>
        <w:rPr>
          <w:b/>
          <w:sz w:val="23"/>
        </w:rPr>
      </w:pPr>
    </w:p>
    <w:p w:rsidR="00C52BB5" w:rsidRDefault="00617C2C" w:rsidP="00617C2C">
      <w:pPr>
        <w:pStyle w:val="BodyText"/>
        <w:spacing w:before="1" w:line="276" w:lineRule="auto"/>
        <w:ind w:left="220" w:right="341"/>
        <w:sectPr w:rsidR="00C52BB5" w:rsidSect="00617C2C">
          <w:type w:val="continuous"/>
          <w:pgSz w:w="12240" w:h="15840"/>
          <w:pgMar w:top="720" w:right="1220" w:bottom="280" w:left="1220" w:header="720" w:footer="720" w:gutter="0"/>
          <w:cols w:space="720"/>
        </w:sectPr>
      </w:pPr>
      <w:r>
        <w:t>Please take this letter with you to your next appointment with your presc</w:t>
      </w:r>
      <w:r>
        <w:t>ribing doctor and discuss your medications. For more information about the drug formulary.</w:t>
      </w:r>
    </w:p>
    <w:p w:rsidR="00C52BB5" w:rsidRDefault="00617C2C">
      <w:pPr>
        <w:pStyle w:val="Heading1"/>
      </w:pPr>
      <w:r>
        <w:lastRenderedPageBreak/>
        <w:t>S</w:t>
      </w:r>
      <w:r>
        <w:t>ee Next Page:</w:t>
      </w:r>
    </w:p>
    <w:p w:rsidR="00C52BB5" w:rsidRDefault="00C52BB5">
      <w:pPr>
        <w:pStyle w:val="BodyText"/>
        <w:rPr>
          <w:b/>
        </w:rPr>
      </w:pPr>
    </w:p>
    <w:p w:rsidR="00C52BB5" w:rsidRDefault="00C52BB5">
      <w:pPr>
        <w:pStyle w:val="BodyText"/>
        <w:rPr>
          <w:b/>
        </w:rPr>
      </w:pPr>
    </w:p>
    <w:p w:rsidR="00C52BB5" w:rsidRDefault="00C52BB5">
      <w:pPr>
        <w:pStyle w:val="BodyText"/>
        <w:rPr>
          <w:b/>
        </w:rPr>
      </w:pPr>
    </w:p>
    <w:p w:rsidR="00C52BB5" w:rsidRDefault="00C52BB5">
      <w:pPr>
        <w:pStyle w:val="BodyText"/>
        <w:rPr>
          <w:b/>
        </w:rPr>
      </w:pPr>
    </w:p>
    <w:p w:rsidR="00C52BB5" w:rsidRDefault="00617C2C">
      <w:pPr>
        <w:spacing w:before="184"/>
        <w:ind w:left="220"/>
        <w:rPr>
          <w:b/>
        </w:rPr>
      </w:pPr>
      <w:r>
        <w:rPr>
          <w:b/>
        </w:rPr>
        <w:t>Prescription Information</w:t>
      </w:r>
    </w:p>
    <w:p w:rsidR="00C52BB5" w:rsidRDefault="00C52BB5">
      <w:pPr>
        <w:pStyle w:val="BodyText"/>
        <w:spacing w:before="9"/>
        <w:rPr>
          <w:b/>
          <w:sz w:val="1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2"/>
        <w:gridCol w:w="3192"/>
      </w:tblGrid>
      <w:tr w:rsidR="00C52BB5">
        <w:trPr>
          <w:trHeight w:val="376"/>
        </w:trPr>
        <w:tc>
          <w:tcPr>
            <w:tcW w:w="3193" w:type="dxa"/>
          </w:tcPr>
          <w:p w:rsidR="00C52BB5" w:rsidRDefault="00617C2C">
            <w:pPr>
              <w:pStyle w:val="TableParagraph"/>
              <w:spacing w:line="341" w:lineRule="exact"/>
              <w:ind w:left="612"/>
              <w:rPr>
                <w:b/>
                <w:sz w:val="28"/>
              </w:rPr>
            </w:pPr>
            <w:r>
              <w:rPr>
                <w:b/>
                <w:sz w:val="28"/>
              </w:rPr>
              <w:t>Prescriber’s Name</w:t>
            </w:r>
          </w:p>
        </w:tc>
        <w:tc>
          <w:tcPr>
            <w:tcW w:w="3192" w:type="dxa"/>
          </w:tcPr>
          <w:p w:rsidR="00C52BB5" w:rsidRDefault="00617C2C">
            <w:pPr>
              <w:pStyle w:val="TableParagraph"/>
              <w:spacing w:line="341" w:lineRule="exact"/>
              <w:ind w:left="928"/>
              <w:rPr>
                <w:b/>
                <w:sz w:val="28"/>
              </w:rPr>
            </w:pPr>
            <w:r>
              <w:rPr>
                <w:b/>
                <w:sz w:val="28"/>
              </w:rPr>
              <w:t>Medication</w:t>
            </w:r>
          </w:p>
        </w:tc>
        <w:tc>
          <w:tcPr>
            <w:tcW w:w="3192" w:type="dxa"/>
          </w:tcPr>
          <w:p w:rsidR="00C52BB5" w:rsidRDefault="00617C2C">
            <w:pPr>
              <w:pStyle w:val="TableParagraph"/>
              <w:spacing w:line="341" w:lineRule="exact"/>
              <w:ind w:left="360"/>
              <w:rPr>
                <w:b/>
                <w:sz w:val="28"/>
              </w:rPr>
            </w:pPr>
            <w:r>
              <w:rPr>
                <w:b/>
                <w:sz w:val="28"/>
              </w:rPr>
              <w:t>Dose</w:t>
            </w:r>
          </w:p>
        </w:tc>
      </w:tr>
      <w:tr w:rsidR="00C52BB5">
        <w:trPr>
          <w:trHeight w:val="530"/>
        </w:trPr>
        <w:tc>
          <w:tcPr>
            <w:tcW w:w="3193" w:type="dxa"/>
          </w:tcPr>
          <w:p w:rsidR="00C52BB5" w:rsidRDefault="00C52BB5">
            <w:pPr>
              <w:pStyle w:val="TableParagraph"/>
              <w:rPr>
                <w:rFonts w:ascii="Times New Roman"/>
                <w:sz w:val="24"/>
              </w:rPr>
            </w:pPr>
          </w:p>
        </w:tc>
        <w:tc>
          <w:tcPr>
            <w:tcW w:w="3192" w:type="dxa"/>
          </w:tcPr>
          <w:p w:rsidR="00C52BB5" w:rsidRDefault="00C52BB5">
            <w:pPr>
              <w:pStyle w:val="TableParagraph"/>
              <w:rPr>
                <w:rFonts w:ascii="Times New Roman"/>
                <w:sz w:val="24"/>
              </w:rPr>
            </w:pPr>
          </w:p>
        </w:tc>
        <w:tc>
          <w:tcPr>
            <w:tcW w:w="3192" w:type="dxa"/>
          </w:tcPr>
          <w:p w:rsidR="00C52BB5" w:rsidRDefault="00C52BB5">
            <w:pPr>
              <w:pStyle w:val="TableParagraph"/>
              <w:rPr>
                <w:rFonts w:ascii="Times New Roman"/>
                <w:sz w:val="24"/>
              </w:rPr>
            </w:pPr>
          </w:p>
        </w:tc>
      </w:tr>
      <w:tr w:rsidR="00C52BB5">
        <w:trPr>
          <w:trHeight w:val="530"/>
        </w:trPr>
        <w:tc>
          <w:tcPr>
            <w:tcW w:w="3193" w:type="dxa"/>
          </w:tcPr>
          <w:p w:rsidR="00C52BB5" w:rsidRDefault="00C52BB5">
            <w:pPr>
              <w:pStyle w:val="TableParagraph"/>
              <w:rPr>
                <w:rFonts w:ascii="Times New Roman"/>
                <w:sz w:val="24"/>
              </w:rPr>
            </w:pPr>
          </w:p>
        </w:tc>
        <w:tc>
          <w:tcPr>
            <w:tcW w:w="3192" w:type="dxa"/>
          </w:tcPr>
          <w:p w:rsidR="00C52BB5" w:rsidRDefault="00C52BB5">
            <w:pPr>
              <w:pStyle w:val="TableParagraph"/>
              <w:rPr>
                <w:rFonts w:ascii="Times New Roman"/>
                <w:sz w:val="24"/>
              </w:rPr>
            </w:pPr>
          </w:p>
        </w:tc>
        <w:tc>
          <w:tcPr>
            <w:tcW w:w="3192" w:type="dxa"/>
          </w:tcPr>
          <w:p w:rsidR="00C52BB5" w:rsidRDefault="00C52BB5">
            <w:pPr>
              <w:pStyle w:val="TableParagraph"/>
              <w:rPr>
                <w:rFonts w:ascii="Times New Roman"/>
                <w:sz w:val="24"/>
              </w:rPr>
            </w:pPr>
          </w:p>
        </w:tc>
      </w:tr>
      <w:tr w:rsidR="00C52BB5">
        <w:trPr>
          <w:trHeight w:val="529"/>
        </w:trPr>
        <w:tc>
          <w:tcPr>
            <w:tcW w:w="3193" w:type="dxa"/>
          </w:tcPr>
          <w:p w:rsidR="00C52BB5" w:rsidRDefault="00C52BB5">
            <w:pPr>
              <w:pStyle w:val="TableParagraph"/>
              <w:rPr>
                <w:rFonts w:ascii="Times New Roman"/>
                <w:sz w:val="24"/>
              </w:rPr>
            </w:pPr>
          </w:p>
        </w:tc>
        <w:tc>
          <w:tcPr>
            <w:tcW w:w="3192" w:type="dxa"/>
          </w:tcPr>
          <w:p w:rsidR="00C52BB5" w:rsidRDefault="00C52BB5">
            <w:pPr>
              <w:pStyle w:val="TableParagraph"/>
              <w:rPr>
                <w:rFonts w:ascii="Times New Roman"/>
                <w:sz w:val="24"/>
              </w:rPr>
            </w:pPr>
          </w:p>
        </w:tc>
        <w:tc>
          <w:tcPr>
            <w:tcW w:w="3192" w:type="dxa"/>
          </w:tcPr>
          <w:p w:rsidR="00C52BB5" w:rsidRDefault="00C52BB5">
            <w:pPr>
              <w:pStyle w:val="TableParagraph"/>
              <w:rPr>
                <w:rFonts w:ascii="Times New Roman"/>
                <w:sz w:val="24"/>
              </w:rPr>
            </w:pPr>
          </w:p>
        </w:tc>
      </w:tr>
      <w:tr w:rsidR="00C52BB5">
        <w:trPr>
          <w:trHeight w:val="530"/>
        </w:trPr>
        <w:tc>
          <w:tcPr>
            <w:tcW w:w="3193" w:type="dxa"/>
          </w:tcPr>
          <w:p w:rsidR="00C52BB5" w:rsidRDefault="00C52BB5">
            <w:pPr>
              <w:pStyle w:val="TableParagraph"/>
              <w:rPr>
                <w:rFonts w:ascii="Times New Roman"/>
                <w:sz w:val="24"/>
              </w:rPr>
            </w:pPr>
          </w:p>
        </w:tc>
        <w:tc>
          <w:tcPr>
            <w:tcW w:w="3192" w:type="dxa"/>
          </w:tcPr>
          <w:p w:rsidR="00C52BB5" w:rsidRDefault="00C52BB5">
            <w:pPr>
              <w:pStyle w:val="TableParagraph"/>
              <w:rPr>
                <w:rFonts w:ascii="Times New Roman"/>
                <w:sz w:val="24"/>
              </w:rPr>
            </w:pPr>
          </w:p>
        </w:tc>
        <w:tc>
          <w:tcPr>
            <w:tcW w:w="3192" w:type="dxa"/>
          </w:tcPr>
          <w:p w:rsidR="00C52BB5" w:rsidRDefault="00C52BB5">
            <w:pPr>
              <w:pStyle w:val="TableParagraph"/>
              <w:rPr>
                <w:rFonts w:ascii="Times New Roman"/>
                <w:sz w:val="24"/>
              </w:rPr>
            </w:pPr>
          </w:p>
        </w:tc>
      </w:tr>
      <w:tr w:rsidR="00C52BB5">
        <w:trPr>
          <w:trHeight w:val="530"/>
        </w:trPr>
        <w:tc>
          <w:tcPr>
            <w:tcW w:w="3193" w:type="dxa"/>
          </w:tcPr>
          <w:p w:rsidR="00C52BB5" w:rsidRDefault="00C52BB5">
            <w:pPr>
              <w:pStyle w:val="TableParagraph"/>
              <w:rPr>
                <w:rFonts w:ascii="Times New Roman"/>
                <w:sz w:val="24"/>
              </w:rPr>
            </w:pPr>
          </w:p>
        </w:tc>
        <w:tc>
          <w:tcPr>
            <w:tcW w:w="3192" w:type="dxa"/>
          </w:tcPr>
          <w:p w:rsidR="00C52BB5" w:rsidRDefault="00C52BB5">
            <w:pPr>
              <w:pStyle w:val="TableParagraph"/>
              <w:rPr>
                <w:rFonts w:ascii="Times New Roman"/>
                <w:sz w:val="24"/>
              </w:rPr>
            </w:pPr>
          </w:p>
        </w:tc>
        <w:tc>
          <w:tcPr>
            <w:tcW w:w="3192" w:type="dxa"/>
          </w:tcPr>
          <w:p w:rsidR="00C52BB5" w:rsidRDefault="00C52BB5">
            <w:pPr>
              <w:pStyle w:val="TableParagraph"/>
              <w:rPr>
                <w:rFonts w:ascii="Times New Roman"/>
                <w:sz w:val="24"/>
              </w:rPr>
            </w:pPr>
          </w:p>
        </w:tc>
      </w:tr>
    </w:tbl>
    <w:p w:rsidR="00C52BB5" w:rsidRDefault="00C52BB5">
      <w:pPr>
        <w:pStyle w:val="BodyText"/>
        <w:rPr>
          <w:b/>
        </w:rPr>
      </w:pPr>
    </w:p>
    <w:p w:rsidR="00C52BB5" w:rsidRDefault="00C52BB5">
      <w:pPr>
        <w:pStyle w:val="BodyText"/>
        <w:spacing w:before="7"/>
        <w:rPr>
          <w:b/>
          <w:sz w:val="19"/>
        </w:rPr>
      </w:pPr>
    </w:p>
    <w:p w:rsidR="00C52BB5" w:rsidRDefault="00617C2C">
      <w:pPr>
        <w:pStyle w:val="BodyText"/>
        <w:spacing w:line="456" w:lineRule="auto"/>
        <w:ind w:left="940" w:right="7813" w:hanging="720"/>
        <w:jc w:val="both"/>
      </w:pPr>
      <w:r>
        <w:t>Cc: [Prescriber] [Pharmacy] [Adjuster]</w:t>
      </w:r>
    </w:p>
    <w:sectPr w:rsidR="00C52BB5">
      <w:pgSz w:w="12240" w:h="15840"/>
      <w:pgMar w:top="140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C516EC"/>
    <w:multiLevelType w:val="hybridMultilevel"/>
    <w:tmpl w:val="FF68E614"/>
    <w:lvl w:ilvl="0" w:tplc="0EDEB95C">
      <w:numFmt w:val="bullet"/>
      <w:lvlText w:val=""/>
      <w:lvlJc w:val="left"/>
      <w:pPr>
        <w:ind w:left="940" w:hanging="360"/>
      </w:pPr>
      <w:rPr>
        <w:rFonts w:ascii="Symbol" w:eastAsia="Symbol" w:hAnsi="Symbol" w:cs="Symbol" w:hint="default"/>
        <w:w w:val="100"/>
        <w:sz w:val="22"/>
        <w:szCs w:val="22"/>
        <w:lang w:val="en-US" w:eastAsia="en-US" w:bidi="en-US"/>
      </w:rPr>
    </w:lvl>
    <w:lvl w:ilvl="1" w:tplc="B576182C">
      <w:numFmt w:val="bullet"/>
      <w:lvlText w:val="•"/>
      <w:lvlJc w:val="left"/>
      <w:pPr>
        <w:ind w:left="1826" w:hanging="360"/>
      </w:pPr>
      <w:rPr>
        <w:rFonts w:hint="default"/>
        <w:lang w:val="en-US" w:eastAsia="en-US" w:bidi="en-US"/>
      </w:rPr>
    </w:lvl>
    <w:lvl w:ilvl="2" w:tplc="A054203E">
      <w:numFmt w:val="bullet"/>
      <w:lvlText w:val="•"/>
      <w:lvlJc w:val="left"/>
      <w:pPr>
        <w:ind w:left="2712" w:hanging="360"/>
      </w:pPr>
      <w:rPr>
        <w:rFonts w:hint="default"/>
        <w:lang w:val="en-US" w:eastAsia="en-US" w:bidi="en-US"/>
      </w:rPr>
    </w:lvl>
    <w:lvl w:ilvl="3" w:tplc="56F45280">
      <w:numFmt w:val="bullet"/>
      <w:lvlText w:val="•"/>
      <w:lvlJc w:val="left"/>
      <w:pPr>
        <w:ind w:left="3598" w:hanging="360"/>
      </w:pPr>
      <w:rPr>
        <w:rFonts w:hint="default"/>
        <w:lang w:val="en-US" w:eastAsia="en-US" w:bidi="en-US"/>
      </w:rPr>
    </w:lvl>
    <w:lvl w:ilvl="4" w:tplc="74F6803E">
      <w:numFmt w:val="bullet"/>
      <w:lvlText w:val="•"/>
      <w:lvlJc w:val="left"/>
      <w:pPr>
        <w:ind w:left="4484" w:hanging="360"/>
      </w:pPr>
      <w:rPr>
        <w:rFonts w:hint="default"/>
        <w:lang w:val="en-US" w:eastAsia="en-US" w:bidi="en-US"/>
      </w:rPr>
    </w:lvl>
    <w:lvl w:ilvl="5" w:tplc="502C1206">
      <w:numFmt w:val="bullet"/>
      <w:lvlText w:val="•"/>
      <w:lvlJc w:val="left"/>
      <w:pPr>
        <w:ind w:left="5370" w:hanging="360"/>
      </w:pPr>
      <w:rPr>
        <w:rFonts w:hint="default"/>
        <w:lang w:val="en-US" w:eastAsia="en-US" w:bidi="en-US"/>
      </w:rPr>
    </w:lvl>
    <w:lvl w:ilvl="6" w:tplc="CB7E524C">
      <w:numFmt w:val="bullet"/>
      <w:lvlText w:val="•"/>
      <w:lvlJc w:val="left"/>
      <w:pPr>
        <w:ind w:left="6256" w:hanging="360"/>
      </w:pPr>
      <w:rPr>
        <w:rFonts w:hint="default"/>
        <w:lang w:val="en-US" w:eastAsia="en-US" w:bidi="en-US"/>
      </w:rPr>
    </w:lvl>
    <w:lvl w:ilvl="7" w:tplc="A0C065EE">
      <w:numFmt w:val="bullet"/>
      <w:lvlText w:val="•"/>
      <w:lvlJc w:val="left"/>
      <w:pPr>
        <w:ind w:left="7142" w:hanging="360"/>
      </w:pPr>
      <w:rPr>
        <w:rFonts w:hint="default"/>
        <w:lang w:val="en-US" w:eastAsia="en-US" w:bidi="en-US"/>
      </w:rPr>
    </w:lvl>
    <w:lvl w:ilvl="8" w:tplc="FAA88A5E">
      <w:numFmt w:val="bullet"/>
      <w:lvlText w:val="•"/>
      <w:lvlJc w:val="left"/>
      <w:pPr>
        <w:ind w:left="802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C52BB5"/>
    <w:rsid w:val="00617C2C"/>
    <w:rsid w:val="00C52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69CCA5-0449-4888-81C6-BC141989B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39"/>
      <w:ind w:left="2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Price</dc:creator>
  <cp:lastModifiedBy>Raheel</cp:lastModifiedBy>
  <cp:revision>2</cp:revision>
  <dcterms:created xsi:type="dcterms:W3CDTF">2019-05-22T10:34:00Z</dcterms:created>
  <dcterms:modified xsi:type="dcterms:W3CDTF">2019-05-22T11:06:00Z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2016-04-04T00:00:00Z</vt:filetime>
  </property>
  <property fmtid="{D5CDD505-2E9C-101B-9397-08002B2CF9AE}" pid="3" name="Creator">
    <vt:lpwstr>Microsoft® Word 2010</vt:lpwstr>
  </property>
  <property fmtid="{D5CDD505-2E9C-101B-9397-08002B2CF9AE}" pid="4" name="LastSaved">
    <vt:filetime>2019-05-22T00:00:00Z</vt:filetime>
  </property>
</Properties>
</file>