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  <w:t>To Whom It May Concern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I am writing this reference letter on the request of Sara Chris who is applying for a position as a Registered Nurse at the St. Louis Hospital. I know Sara for several years in my capacity as an Administrator of NHI Nursing &amp; Homemakers. Sara worked for our facility as a Staff Nurse from May 2009 to June 2011.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Sara has several strengths to offer to St. Louis Hospital. She is very skilled, responsible, efficient, enthusiastic, and kindhearted individual. While working at NHI Nursing &amp; Homemakers, Sara distinguished herself as an outstanding nurse among all others. She constantly provided safe sympathetic nursing care to our residents and their families. She was always eager to go a step further than expected and consequently made lots of great connections with the residents. Moreover, she developed and maintained professional relationships with co-workers and patients and had an admirable attendance record.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To put it briefly, I will highly recommend Sara for a position of Registered Nurse at the St. Louis Hospital. If her performance at NHI Nursing &amp; Homemakers is any sign of how she will perform as a nurse, I believe Sara will be a positive addition to your organization. In case of any query please don’t hesitate to contact me.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I wish her best of luck in her future endeavors.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> 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(Signature)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John Smith</w:t>
        <w:br/>
        <w:t>Administrator</w:t>
        <w:br/>
        <w:t>NHI Nursing &amp; Homemakers Inc</w:t>
        <w:br/>
        <w:t>Houston, TX 65214</w:t>
        <w:br/>
        <w:t>(549) 999-9999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altName w:val="Genev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5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2017-06-27T18:18:35Z</dcterms:created>
  <dc:language>en-IN</dc:language>
  <cp:revision>0</cp:revision>
</cp:coreProperties>
</file>